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Cinematography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Shots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XLS: extreme long shots are panoramics and are always outside, never inside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LS: long shot; quite a far distance. Gives us a view of a full space. Used in both exterior and interior shots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Long Shot/Full Shot: presents a shot of an entire person, from head to toe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MS: medium shot; good for exposition, we see their reactions but it’s not our main interest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CU: close-up; concentrates on a specific object, or full body part (ex. hand, face, foot etc.)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XCU: extreme close-up; focuses on a specific part of an object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Angles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Bird’s Eye: camera is directly above (180 degrees)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Perception changes with different camera shot combinations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(ex: bird’s eye + XLS/LS = good view of scenery; bird’s eye + CU/XCU = creates a sense of entrapment)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High Angle: gives spectator a general view overview; creates a sense of power, or entrapment /danger when combined with a MS or CU shot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Eye Level: good for dialogue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Lower Angle: gives more power to characters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Oblique: camera is placed at non-straight angle, giving us a sense of lack of balance/stability (ex: drunk person)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u w:val="single"/>
          <w:rtl w:val="0"/>
        </w:rPr>
        <w:t xml:space="preserve">Lighting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*all films use artificial lighting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Three Point Lighting: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key light: the brightest source of light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backlight: from behind the subjects to define figures (creates silhouettes)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fill light: used to soften deep shadows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High Key/Low Key: brighter or dimmer light to create chiaroscuro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Cross Lighting: light brought in from the side; creates a sense of volume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Colour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Tinting: only in feature films; sequences were tinted according to what’s going 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(ie. night time = blue tint)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Old films were coloured in by hand, frame by frame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